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5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天津市融资租赁公司监管评级信息表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eastAsia" w:ascii="仿宋" w:hAnsi="仿宋" w:eastAsia="楷体" w:cs="楷体_GB2312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楷体" w:cs="楷体_GB2312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仿宋" w:hAnsi="仿宋" w:eastAsia="楷体" w:cs="楷体_GB2312"/>
          <w:color w:val="auto"/>
          <w:sz w:val="36"/>
          <w:szCs w:val="36"/>
          <w:highlight w:val="none"/>
          <w:lang w:val="en-US" w:eastAsia="zh-CN"/>
        </w:rPr>
        <w:t>2020</w:t>
      </w:r>
      <w:r>
        <w:rPr>
          <w:rFonts w:hint="eastAsia" w:ascii="仿宋" w:hAnsi="仿宋" w:eastAsia="楷体" w:cs="楷体_GB2312"/>
          <w:color w:val="auto"/>
          <w:sz w:val="36"/>
          <w:szCs w:val="36"/>
          <w:highlight w:val="none"/>
          <w:lang w:eastAsia="zh-CN"/>
        </w:rPr>
        <w:t>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" w:hAnsi="仿宋" w:eastAsia="仿宋" w:cs="仿宋"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85" w:leftChars="50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85" w:leftChars="50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报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85" w:leftChars="50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85" w:leftChars="50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填报日期：2020年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2593"/>
          <w:tab w:val="left" w:pos="3673"/>
          <w:tab w:val="left" w:pos="4753"/>
          <w:tab w:val="left" w:pos="5833"/>
          <w:tab w:val="left" w:pos="7751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93" w:firstLine="99" w:firstLineChars="36"/>
        <w:jc w:val="center"/>
        <w:rPr>
          <w:rFonts w:hint="eastAsia" w:ascii="仿宋" w:hAnsi="仿宋" w:eastAsia="楷体" w:cs="楷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楷体" w:cs="楷体"/>
          <w:color w:val="auto"/>
          <w:kern w:val="0"/>
          <w:sz w:val="28"/>
          <w:szCs w:val="28"/>
          <w:highlight w:val="none"/>
        </w:rPr>
        <w:t>天津市</w:t>
      </w:r>
      <w:r>
        <w:rPr>
          <w:rFonts w:hint="eastAsia" w:ascii="仿宋" w:hAnsi="仿宋" w:eastAsia="楷体" w:cs="楷体"/>
          <w:color w:val="auto"/>
          <w:kern w:val="0"/>
          <w:sz w:val="28"/>
          <w:szCs w:val="28"/>
          <w:highlight w:val="none"/>
          <w:lang w:eastAsia="zh-CN"/>
        </w:rPr>
        <w:t>地方金融监督管理</w:t>
      </w:r>
      <w:r>
        <w:rPr>
          <w:rFonts w:hint="eastAsia" w:ascii="仿宋" w:hAnsi="仿宋" w:eastAsia="楷体" w:cs="楷体"/>
          <w:color w:val="auto"/>
          <w:kern w:val="0"/>
          <w:sz w:val="28"/>
          <w:szCs w:val="28"/>
          <w:highlight w:val="none"/>
        </w:rPr>
        <w:t>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sectPr>
          <w:pgSz w:w="11906" w:h="16838"/>
          <w:pgMar w:top="2098" w:right="1531" w:bottom="1984" w:left="1531" w:header="851" w:footer="1474" w:gutter="0"/>
          <w:paperSrc/>
          <w:cols w:space="0" w:num="1"/>
          <w:rtlGutter w:val="0"/>
          <w:docGrid w:type="linesAndChars" w:linePitch="472" w:charSpace="-74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填报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1.金额单位均为万元人民币，外币的应按照2020年9月30日汇率折算成人民币。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2.业务、财务数据填报时点为2020年9月30日，公司情况填报时点为填报日期。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营业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收入增长率=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（本期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营业收入增长额/上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营业收入总额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×100%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其中：本期营业收入增长额=本期营业收入总额－上期营业收入总额。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毛利率=（主营业务收入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－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主营业务成本）/主营业务收入×100%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营业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净利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率=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净利润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/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营业收入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×100%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t>6.权益净利率=净利润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/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股东权益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×100%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风险资产杠杆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倍数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</w:rPr>
        <w:t>=风险资产总额/</w:t>
      </w: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eastAsia="zh-CN"/>
        </w:rPr>
        <w:t>净资产。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8.不得删减修改信息表模板，不涉及的内容可空报。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9.此表正反面打印，装订成册，加盖公章和骑缝章。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t>本公司承诺：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108" w:firstLineChars="4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t>本信息表所填报信息与数据全部真实、准确、完整。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4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t>法定代表人签字：                    （公司盖章）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108" w:rightChars="400" w:firstLine="554" w:firstLineChars="200"/>
        <w:jc w:val="right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t>2020年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108" w:rightChars="400" w:firstLine="554" w:firstLineChars="200"/>
        <w:jc w:val="right"/>
        <w:textAlignment w:val="auto"/>
        <w:rPr>
          <w:rFonts w:hint="eastAsia" w:ascii="仿宋" w:hAnsi="仿宋" w:eastAsia="仿宋" w:cs="仿宋"/>
          <w:bCs/>
          <w:color w:val="auto"/>
          <w:spacing w:val="0"/>
          <w:w w:val="100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74" w:gutter="0"/>
          <w:paperSrc/>
          <w:pgNumType w:start="1"/>
          <w:cols w:space="0" w:num="1"/>
          <w:rtlGutter w:val="0"/>
          <w:docGrid w:type="linesAndChars" w:linePitch="472" w:charSpace="-743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一、公司概况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楷体" w:hAnsi="楷体" w:eastAsia="楷体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/>
          <w:bCs/>
          <w:color w:val="auto"/>
          <w:sz w:val="28"/>
          <w:szCs w:val="28"/>
        </w:rPr>
        <w:t>（一）基本信息</w:t>
      </w:r>
    </w:p>
    <w:tbl>
      <w:tblPr>
        <w:tblStyle w:val="4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39"/>
        <w:gridCol w:w="2239"/>
        <w:gridCol w:w="2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公司性质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1"/>
                <w:w w:val="95"/>
                <w:sz w:val="28"/>
                <w:szCs w:val="28"/>
              </w:rPr>
              <w:t>统一社会信用代码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实际经营地址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注册资本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实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lang w:eastAsia="zh-CN"/>
              </w:rPr>
              <w:t>缴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资本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楷体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楷体"/>
          <w:bCs/>
          <w:color w:val="auto"/>
          <w:sz w:val="28"/>
          <w:szCs w:val="28"/>
          <w:lang w:eastAsia="zh-CN"/>
        </w:rPr>
        <w:t>说明：公司性质</w:t>
      </w:r>
      <w:r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  <w:t>分为国有、民营、外资、港澳台资等）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ascii="仿宋" w:hAnsi="仿宋" w:eastAsia="楷体"/>
          <w:bCs/>
          <w:color w:val="auto"/>
          <w:sz w:val="28"/>
          <w:szCs w:val="28"/>
        </w:rPr>
      </w:pPr>
      <w:r>
        <w:rPr>
          <w:rFonts w:hint="eastAsia" w:ascii="仿宋" w:hAnsi="仿宋" w:eastAsia="楷体"/>
          <w:bCs/>
          <w:color w:val="auto"/>
          <w:sz w:val="28"/>
          <w:szCs w:val="28"/>
        </w:rPr>
        <w:t>（二）股东情况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1.基本情况表</w:t>
      </w:r>
    </w:p>
    <w:tbl>
      <w:tblPr>
        <w:tblStyle w:val="4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658"/>
        <w:gridCol w:w="1659"/>
        <w:gridCol w:w="1659"/>
        <w:gridCol w:w="1659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股东名称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信用代码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出资金额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持股比例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主营业务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2.股权结构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  <w:t>（说明：穿透到实际控制人）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3.实际控制人（或者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股东）介绍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Times New Roman"/>
          <w:bCs/>
          <w:color w:val="auto"/>
          <w:sz w:val="28"/>
          <w:szCs w:val="28"/>
        </w:rPr>
        <w:t>（三）职能部门</w:t>
      </w:r>
      <w:r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  <w:t>情况</w:t>
      </w:r>
    </w:p>
    <w:tbl>
      <w:tblPr>
        <w:tblStyle w:val="4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411"/>
        <w:gridCol w:w="1556"/>
        <w:gridCol w:w="40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部门名称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在岗人数</w:t>
            </w:r>
          </w:p>
        </w:tc>
        <w:tc>
          <w:tcPr>
            <w:tcW w:w="4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简要介绍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  <w:t>（四）银行账户情况</w:t>
      </w:r>
    </w:p>
    <w:tbl>
      <w:tblPr>
        <w:tblStyle w:val="4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79"/>
        <w:gridCol w:w="3135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账户性质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开户行名称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Times New Roman" w:hAnsi="Times New Roman" w:eastAsia="仿宋" w:cs="仿宋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  <w:t>（说明：账户性质分为基本户</w:t>
      </w:r>
      <w:r>
        <w:rPr>
          <w:rFonts w:hint="eastAsia" w:ascii="仿宋" w:hAnsi="仿宋" w:eastAsia="楷体" w:cs="Times New Roman"/>
          <w:bCs/>
          <w:color w:val="auto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  <w:t>一般户，需与在开户行或人民银行打印的已开立银行结算账户清单一致）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Times New Roman"/>
          <w:bCs/>
          <w:color w:val="auto"/>
          <w:sz w:val="28"/>
          <w:szCs w:val="28"/>
          <w:lang w:eastAsia="zh-CN"/>
        </w:rPr>
        <w:t>（五）人力资源情况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力资源结构</w:t>
      </w:r>
    </w:p>
    <w:tbl>
      <w:tblPr>
        <w:tblStyle w:val="4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1219"/>
        <w:gridCol w:w="1219"/>
        <w:gridCol w:w="1219"/>
        <w:gridCol w:w="1219"/>
        <w:gridCol w:w="1219"/>
        <w:gridCol w:w="1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w w:val="50"/>
                <w:sz w:val="28"/>
                <w:szCs w:val="2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auto"/>
                <w:w w:val="50"/>
                <w:sz w:val="28"/>
                <w:szCs w:val="28"/>
                <w:shd w:val="clear" w:color="auto" w:fill="auto"/>
                <w:lang w:eastAsia="zh-CN"/>
              </w:rPr>
              <w:t>）</w:t>
            </w:r>
          </w:p>
        </w:tc>
        <w:tc>
          <w:tcPr>
            <w:tcW w:w="4050" w:type="dxa"/>
            <w:gridSpan w:val="3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文化程度</w:t>
            </w:r>
          </w:p>
        </w:tc>
        <w:tc>
          <w:tcPr>
            <w:tcW w:w="4050" w:type="dxa"/>
            <w:gridSpan w:val="3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6"/>
                <w:sz w:val="28"/>
                <w:szCs w:val="28"/>
                <w:shd w:val="clear" w:color="auto" w:fill="auto"/>
                <w:lang w:eastAsia="zh-CN"/>
              </w:rPr>
              <w:t>从事经济、金融、财务、法律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  <w:lang w:eastAsia="zh-CN"/>
              </w:rPr>
              <w:t>专　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及以下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科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研究生及以上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二年</w:t>
            </w:r>
            <w:r>
              <w:rPr>
                <w:rFonts w:hint="eastAsia" w:ascii="仿宋" w:hAnsi="仿宋" w:eastAsia="仿宋" w:cs="仿宋"/>
                <w:bCs/>
                <w:color w:val="auto"/>
                <w:w w:val="50"/>
                <w:sz w:val="28"/>
                <w:szCs w:val="2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  <w:lang w:eastAsia="zh-CN"/>
              </w:rPr>
              <w:t>含</w:t>
            </w:r>
            <w:r>
              <w:rPr>
                <w:rFonts w:hint="eastAsia" w:ascii="仿宋" w:hAnsi="仿宋" w:eastAsia="仿宋" w:cs="仿宋"/>
                <w:bCs/>
                <w:color w:val="auto"/>
                <w:w w:val="50"/>
                <w:sz w:val="28"/>
                <w:szCs w:val="28"/>
                <w:shd w:val="clear" w:color="auto" w:fill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及以下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二年至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十年</w:t>
            </w:r>
            <w:r>
              <w:rPr>
                <w:rFonts w:hint="eastAsia" w:ascii="仿宋" w:hAnsi="仿宋" w:eastAsia="仿宋" w:cs="仿宋"/>
                <w:bCs/>
                <w:color w:val="auto"/>
                <w:w w:val="50"/>
                <w:sz w:val="28"/>
                <w:szCs w:val="2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  <w:lang w:eastAsia="zh-CN"/>
              </w:rPr>
              <w:t>含</w:t>
            </w:r>
            <w:r>
              <w:rPr>
                <w:rFonts w:hint="eastAsia" w:ascii="仿宋" w:hAnsi="仿宋" w:eastAsia="仿宋" w:cs="仿宋"/>
                <w:bCs/>
                <w:color w:val="auto"/>
                <w:w w:val="50"/>
                <w:sz w:val="28"/>
                <w:szCs w:val="28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以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人数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  <w:t>比例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2.高级管理人员信息</w:t>
      </w:r>
    </w:p>
    <w:tbl>
      <w:tblPr>
        <w:tblStyle w:val="5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949"/>
        <w:gridCol w:w="941"/>
        <w:gridCol w:w="1461"/>
        <w:gridCol w:w="2022"/>
        <w:gridCol w:w="1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0" w:firstLineChars="200"/>
        <w:jc w:val="left"/>
        <w:textAlignment w:val="auto"/>
        <w:rPr>
          <w:rFonts w:hint="eastAsia" w:ascii="仿宋" w:hAnsi="仿宋" w:eastAsia="楷体" w:cs="楷体"/>
          <w:i w:val="0"/>
          <w:iCs/>
          <w:color w:val="auto"/>
          <w:spacing w:val="-6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i w:val="0"/>
          <w:iCs/>
          <w:color w:val="auto"/>
          <w:spacing w:val="-6"/>
          <w:sz w:val="28"/>
          <w:szCs w:val="28"/>
          <w:lang w:eastAsia="zh-CN"/>
        </w:rPr>
        <w:t>（说明：包括法定代表人、董事、监事、总经理、副总经理等）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3.部门负责人员信息</w:t>
      </w:r>
    </w:p>
    <w:tbl>
      <w:tblPr>
        <w:tblStyle w:val="5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949"/>
        <w:gridCol w:w="941"/>
        <w:gridCol w:w="1461"/>
        <w:gridCol w:w="2022"/>
        <w:gridCol w:w="1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楷体" w:cs="楷体"/>
          <w:i w:val="0"/>
          <w:iCs/>
          <w:color w:val="auto"/>
          <w:spacing w:val="-6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  <w:t>（说明：包括财务、风控、业务、合规等部门负责人员）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二、经营情况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ascii="仿宋" w:hAnsi="仿宋" w:eastAsia="楷体"/>
          <w:bCs/>
          <w:color w:val="auto"/>
          <w:sz w:val="28"/>
          <w:szCs w:val="28"/>
        </w:rPr>
      </w:pPr>
      <w:r>
        <w:rPr>
          <w:rFonts w:hint="eastAsia" w:ascii="仿宋" w:hAnsi="仿宋" w:eastAsia="楷体"/>
          <w:bCs/>
          <w:color w:val="auto"/>
          <w:sz w:val="28"/>
          <w:szCs w:val="28"/>
          <w:lang w:eastAsia="zh-CN"/>
        </w:rPr>
        <w:t>（一）</w:t>
      </w:r>
      <w:r>
        <w:rPr>
          <w:rFonts w:hint="eastAsia" w:ascii="仿宋" w:hAnsi="仿宋" w:eastAsia="楷体"/>
          <w:bCs/>
          <w:color w:val="auto"/>
          <w:sz w:val="28"/>
          <w:szCs w:val="28"/>
        </w:rPr>
        <w:t>注册资本实缴情况及近</w:t>
      </w:r>
      <w:r>
        <w:rPr>
          <w:rFonts w:hint="eastAsia" w:ascii="仿宋" w:hAnsi="仿宋" w:eastAsia="楷体"/>
          <w:bCs/>
          <w:color w:val="auto"/>
          <w:sz w:val="28"/>
          <w:szCs w:val="28"/>
          <w:lang w:eastAsia="zh-CN"/>
        </w:rPr>
        <w:t>两</w:t>
      </w:r>
      <w:r>
        <w:rPr>
          <w:rFonts w:hint="eastAsia" w:ascii="仿宋" w:hAnsi="仿宋" w:eastAsia="楷体"/>
          <w:bCs/>
          <w:color w:val="auto"/>
          <w:sz w:val="28"/>
          <w:szCs w:val="28"/>
        </w:rPr>
        <w:t>年纳税情况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  <w:t>（说明：未全部实缴到位的应写明实缴计划）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ascii="仿宋" w:hAnsi="仿宋" w:eastAsia="楷体"/>
          <w:bCs/>
          <w:color w:val="auto"/>
          <w:sz w:val="28"/>
          <w:szCs w:val="28"/>
        </w:rPr>
      </w:pPr>
      <w:r>
        <w:rPr>
          <w:rFonts w:hint="eastAsia" w:ascii="仿宋" w:hAnsi="仿宋" w:eastAsia="楷体"/>
          <w:bCs/>
          <w:color w:val="auto"/>
          <w:sz w:val="28"/>
          <w:szCs w:val="28"/>
        </w:rPr>
        <w:t>（二）融资情况</w:t>
      </w:r>
    </w:p>
    <w:tbl>
      <w:tblPr>
        <w:tblStyle w:val="4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373"/>
        <w:gridCol w:w="1373"/>
        <w:gridCol w:w="1373"/>
        <w:gridCol w:w="1375"/>
        <w:gridCol w:w="1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资金来源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余额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发放日期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到期日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担保方式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1" w:leftChars="15" w:right="41" w:rightChars="15"/>
              <w:jc w:val="distribute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银承、保证金比例等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银行借款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发行债券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发行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ABS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楷体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/>
          <w:bCs/>
          <w:color w:val="auto"/>
          <w:sz w:val="28"/>
          <w:szCs w:val="28"/>
          <w:lang w:eastAsia="zh-CN"/>
        </w:rPr>
        <w:t>（三）业务开展情况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  <w:t>（说明：对业务开展情况进行简要介绍，包括总体规模以及业务总额、余额等）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1.业务期限结构表</w:t>
      </w:r>
    </w:p>
    <w:tbl>
      <w:tblPr>
        <w:tblStyle w:val="5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239"/>
        <w:gridCol w:w="2239"/>
        <w:gridCol w:w="2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期限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余额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占比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平均利率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" w:leftChars="5" w:right="13" w:rightChars="5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以内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1年至3年（含）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3年至5年（含）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5年以上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2.行业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分布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情况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表</w:t>
      </w:r>
    </w:p>
    <w:tbl>
      <w:tblPr>
        <w:tblStyle w:val="5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985"/>
        <w:gridCol w:w="2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行业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板块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余额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楷体" w:cs="楷体"/>
          <w:i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iCs/>
          <w:color w:val="auto"/>
          <w:sz w:val="28"/>
          <w:szCs w:val="28"/>
          <w:lang w:eastAsia="zh-CN"/>
        </w:rPr>
        <w:t>（说明：行业板块参照“全国融资租赁企业管理信息系统”行业分类）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Cs w:val="0"/>
          <w:color w:val="auto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iCs w:val="0"/>
          <w:color w:val="auto"/>
          <w:sz w:val="28"/>
          <w:szCs w:val="28"/>
          <w:lang w:val="en-US" w:eastAsia="zh-CN"/>
        </w:rPr>
        <w:t>.业务类型情况表</w:t>
      </w:r>
    </w:p>
    <w:tbl>
      <w:tblPr>
        <w:tblStyle w:val="5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2"/>
        <w:gridCol w:w="1492"/>
        <w:gridCol w:w="1492"/>
        <w:gridCol w:w="1493"/>
        <w:gridCol w:w="1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直接租赁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售后回租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转租赁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经营租赁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其他租赁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占比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.合同金额前十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存量业务情况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表</w:t>
      </w:r>
    </w:p>
    <w:tbl>
      <w:tblPr>
        <w:tblStyle w:val="5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7"/>
        <w:gridCol w:w="1215"/>
        <w:gridCol w:w="1215"/>
        <w:gridCol w:w="1215"/>
        <w:gridCol w:w="2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客户名称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租赁物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余额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利率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占比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" w:leftChars="12" w:right="33" w:rightChars="12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风险缓释措施及合规情况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.其他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jc w:val="left"/>
        <w:textAlignment w:val="auto"/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  <w:t>（说明：主要包括发放或者受托发放贷款、注册资本使用以及向地方政府、地方政府融资平台提供融资等情况。没有相关情况也应予以说明）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jc w:val="left"/>
        <w:textAlignment w:val="auto"/>
        <w:rPr>
          <w:rFonts w:hint="eastAsia" w:ascii="仿宋" w:hAnsi="仿宋" w:eastAsia="仿宋" w:cs="仿宋"/>
          <w:i w:val="0"/>
          <w:i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jc w:val="left"/>
        <w:textAlignment w:val="auto"/>
        <w:rPr>
          <w:rFonts w:hint="eastAsia" w:ascii="仿宋" w:hAnsi="仿宋" w:eastAsia="仿宋" w:cs="仿宋"/>
          <w:i w:val="0"/>
          <w:i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textAlignment w:val="auto"/>
        <w:rPr>
          <w:rFonts w:ascii="仿宋" w:hAnsi="仿宋" w:eastAsia="楷体"/>
          <w:bCs/>
          <w:color w:val="auto"/>
          <w:sz w:val="28"/>
          <w:szCs w:val="28"/>
        </w:rPr>
      </w:pPr>
      <w:r>
        <w:rPr>
          <w:rFonts w:hint="eastAsia" w:ascii="仿宋" w:hAnsi="仿宋" w:eastAsia="楷体"/>
          <w:bCs/>
          <w:color w:val="auto"/>
          <w:sz w:val="28"/>
          <w:szCs w:val="28"/>
        </w:rPr>
        <w:t>（四）公司信息化系统使用情况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jc w:val="left"/>
        <w:textAlignment w:val="auto"/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i w:val="0"/>
          <w:iCs/>
          <w:color w:val="auto"/>
          <w:sz w:val="28"/>
          <w:szCs w:val="28"/>
          <w:lang w:eastAsia="zh-CN"/>
        </w:rPr>
        <w:t>（说明：公司业务开展和财务管理等使用信息化系统情况）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jc w:val="left"/>
        <w:textAlignment w:val="auto"/>
        <w:rPr>
          <w:rFonts w:hint="eastAsia" w:ascii="仿宋" w:hAnsi="仿宋" w:eastAsia="仿宋" w:cs="仿宋"/>
          <w:i w:val="0"/>
          <w:i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jc w:val="left"/>
        <w:textAlignment w:val="auto"/>
        <w:rPr>
          <w:rFonts w:hint="eastAsia" w:ascii="仿宋" w:hAnsi="仿宋" w:eastAsia="仿宋" w:cs="仿宋"/>
          <w:i w:val="0"/>
          <w:i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textAlignment w:val="auto"/>
        <w:rPr>
          <w:rFonts w:hint="eastAsia" w:ascii="黑体" w:hAnsi="黑体" w:eastAsia="黑体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三、财务</w:t>
      </w:r>
      <w:r>
        <w:rPr>
          <w:rFonts w:hint="eastAsia" w:ascii="黑体" w:hAnsi="黑体" w:eastAsia="黑体"/>
          <w:bCs/>
          <w:color w:val="auto"/>
          <w:sz w:val="28"/>
          <w:szCs w:val="28"/>
          <w:lang w:eastAsia="zh-CN"/>
        </w:rPr>
        <w:t>和风险情况分析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firstLine="554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  <w:t>（一）财务情况</w:t>
      </w:r>
    </w:p>
    <w:tbl>
      <w:tblPr>
        <w:tblStyle w:val="4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2"/>
        <w:gridCol w:w="2452"/>
        <w:gridCol w:w="2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</w:rPr>
              <w:t>主要项目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0"/>
                <w:sz w:val="28"/>
                <w:szCs w:val="28"/>
              </w:rPr>
              <w:t>2019年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kern w:val="0"/>
                <w:sz w:val="28"/>
                <w:szCs w:val="28"/>
              </w:rPr>
              <w:t>2020年9月30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4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其中：租赁资产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08" w:firstLineChars="4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其中：融资租赁资产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39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经营租赁资产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风险资产总额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固定收益类证券投资资产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余额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不良资产余额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计提的风险准备金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负债总额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54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其中：股东借款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5" w:firstLineChars="5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保证金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5" w:firstLineChars="5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银行借款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5" w:firstLineChars="5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其他借款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所有者权益总额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营业收入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4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其中：租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息收入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5" w:firstLineChars="5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手续费收入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5" w:firstLineChars="5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其他收入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营业成本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4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其中：利息支出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财务费用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利润总额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净利润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财务比率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31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资产负债率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31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营业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收入增长率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31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毛利率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31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营业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净利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率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31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权益净利率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31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不良资产率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31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外部评级情况</w:t>
            </w:r>
          </w:p>
        </w:tc>
        <w:tc>
          <w:tcPr>
            <w:tcW w:w="53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楷体" w:cs="楷体"/>
                <w:color w:val="auto"/>
                <w:sz w:val="28"/>
                <w:szCs w:val="28"/>
                <w:lang w:eastAsia="zh-CN"/>
              </w:rPr>
              <w:t>（说明：</w:t>
            </w:r>
            <w:r>
              <w:rPr>
                <w:rFonts w:hint="eastAsia" w:ascii="仿宋" w:hAnsi="仿宋" w:eastAsia="楷体" w:cs="楷体"/>
                <w:color w:val="auto"/>
                <w:sz w:val="28"/>
                <w:szCs w:val="28"/>
              </w:rPr>
              <w:t>包括评级机构、日期、级别</w:t>
            </w:r>
            <w:r>
              <w:rPr>
                <w:rFonts w:hint="eastAsia" w:ascii="仿宋" w:hAnsi="仿宋" w:eastAsia="楷体" w:cs="楷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  <w:t>（说明：对财务情况进行简要总结分析）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left"/>
        <w:textAlignment w:val="auto"/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  <w:t>（二）客户关联度</w:t>
      </w:r>
    </w:p>
    <w:tbl>
      <w:tblPr>
        <w:tblStyle w:val="5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986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期末最大关联方客户</w:t>
            </w:r>
          </w:p>
        </w:tc>
        <w:tc>
          <w:tcPr>
            <w:tcW w:w="298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期末全部关联方客户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融资租赁余额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比重（余额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/净资产）</w:t>
            </w:r>
          </w:p>
        </w:tc>
        <w:tc>
          <w:tcPr>
            <w:tcW w:w="29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2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  <w:t>（三）客户集中度</w:t>
      </w:r>
    </w:p>
    <w:tbl>
      <w:tblPr>
        <w:tblStyle w:val="5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986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期末最大客户</w:t>
            </w:r>
          </w:p>
        </w:tc>
        <w:tc>
          <w:tcPr>
            <w:tcW w:w="298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期末全部客户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融资租赁余额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比重（余额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/净资产）</w:t>
            </w:r>
          </w:p>
        </w:tc>
        <w:tc>
          <w:tcPr>
            <w:tcW w:w="29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2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  <w:t>（四）其他</w:t>
      </w:r>
      <w:r>
        <w:rPr>
          <w:rFonts w:hint="eastAsia" w:ascii="仿宋" w:hAnsi="仿宋" w:eastAsia="楷体" w:cs="楷体"/>
          <w:color w:val="auto"/>
          <w:sz w:val="28"/>
          <w:szCs w:val="28"/>
        </w:rPr>
        <w:t>指标</w:t>
      </w:r>
    </w:p>
    <w:tbl>
      <w:tblPr>
        <w:tblStyle w:val="4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6"/>
        <w:gridCol w:w="2055"/>
        <w:gridCol w:w="2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监管项目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值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监管指标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融资租赁和其他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租赁资产比重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风险资产杠杆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倍数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w w:val="95"/>
                <w:kern w:val="0"/>
                <w:sz w:val="28"/>
                <w:szCs w:val="28"/>
              </w:rPr>
              <w:t>固定收益类证券投资资产占净资产比重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  <w:t>（五）资产管理情况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资产质量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分类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情况</w:t>
      </w:r>
      <w:r>
        <w:rPr>
          <w:rFonts w:hint="eastAsia" w:ascii="仿宋" w:hAnsi="仿宋" w:eastAsia="楷体" w:cs="楷体"/>
          <w:color w:val="auto"/>
          <w:sz w:val="28"/>
          <w:szCs w:val="28"/>
          <w:lang w:eastAsia="zh-CN"/>
        </w:rPr>
        <w:t>（参考）</w:t>
      </w:r>
    </w:p>
    <w:tbl>
      <w:tblPr>
        <w:tblStyle w:val="5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39"/>
        <w:gridCol w:w="2239"/>
        <w:gridCol w:w="2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种类</w:t>
            </w: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金额</w:t>
            </w: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占比</w:t>
            </w:r>
          </w:p>
        </w:tc>
        <w:tc>
          <w:tcPr>
            <w:tcW w:w="2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拨备比例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正常</w:t>
            </w: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关注</w:t>
            </w: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次级</w:t>
            </w: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可疑</w:t>
            </w: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损失</w:t>
            </w: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楷体" w:cs="楷体"/>
          <w:bCs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楷体" w:cs="楷体"/>
          <w:bCs/>
          <w:i w:val="0"/>
          <w:iCs w:val="0"/>
          <w:color w:val="auto"/>
          <w:sz w:val="28"/>
          <w:szCs w:val="28"/>
          <w:lang w:eastAsia="zh-CN"/>
        </w:rPr>
        <w:t>（说明：未对资产质量进行分类的可不填此表，但是应当</w:t>
      </w:r>
      <w:r>
        <w:rPr>
          <w:rFonts w:hint="eastAsia" w:ascii="仿宋" w:hAnsi="仿宋" w:eastAsia="楷体" w:cs="楷体"/>
          <w:bCs/>
          <w:i w:val="0"/>
          <w:iCs w:val="0"/>
          <w:color w:val="auto"/>
          <w:sz w:val="28"/>
          <w:szCs w:val="28"/>
        </w:rPr>
        <w:t>对</w:t>
      </w:r>
      <w:r>
        <w:rPr>
          <w:rFonts w:hint="eastAsia" w:ascii="仿宋" w:hAnsi="仿宋" w:eastAsia="楷体" w:cs="楷体"/>
          <w:bCs/>
          <w:i w:val="0"/>
          <w:iCs w:val="0"/>
          <w:color w:val="auto"/>
          <w:sz w:val="28"/>
          <w:szCs w:val="28"/>
          <w:lang w:eastAsia="zh-CN"/>
        </w:rPr>
        <w:t>资产管理情况进行分析介绍）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楷体" w:cs="楷体"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楷体" w:cs="楷体"/>
          <w:bCs/>
          <w:i w:val="0"/>
          <w:iCs w:val="0"/>
          <w:color w:val="auto"/>
          <w:sz w:val="28"/>
          <w:szCs w:val="28"/>
          <w:lang w:val="en-US" w:eastAsia="zh-CN"/>
        </w:rPr>
        <w:t>（六）近两年发生的重大事项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default" w:ascii="仿宋" w:hAnsi="仿宋" w:eastAsia="楷体" w:cs="楷体"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楷体" w:cs="楷体"/>
          <w:bCs/>
          <w:i w:val="0"/>
          <w:iCs w:val="0"/>
          <w:color w:val="auto"/>
          <w:sz w:val="28"/>
          <w:szCs w:val="28"/>
          <w:lang w:val="en-US" w:eastAsia="zh-CN"/>
        </w:rPr>
        <w:t>（说明：包括违反法律法规或者存在其他重大风险情况。没有相关情况也应予以说明）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default" w:ascii="黑体" w:hAnsi="黑体" w:eastAsia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其他</w:t>
      </w:r>
      <w:r>
        <w:rPr>
          <w:rFonts w:hint="eastAsia" w:ascii="黑体" w:hAnsi="黑体" w:eastAsia="黑体"/>
          <w:bCs/>
          <w:color w:val="auto"/>
          <w:sz w:val="28"/>
          <w:szCs w:val="28"/>
          <w:lang w:eastAsia="zh-CN"/>
        </w:rPr>
        <w:t>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default" w:ascii="仿宋" w:hAnsi="仿宋" w:eastAsia="楷体" w:cs="楷体"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楷体" w:cs="楷体"/>
          <w:bCs/>
          <w:i w:val="0"/>
          <w:iCs w:val="0"/>
          <w:color w:val="auto"/>
          <w:sz w:val="28"/>
          <w:szCs w:val="28"/>
          <w:lang w:val="en-US" w:eastAsia="zh-CN"/>
        </w:rPr>
        <w:t>（说明：没有可不填）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textAlignment w:val="auto"/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</w:rPr>
      </w:pPr>
    </w:p>
    <w:p/>
    <w:sectPr>
      <w:footerReference r:id="rId5" w:type="default"/>
      <w:footerReference r:id="rId6" w:type="even"/>
      <w:pgSz w:w="11906" w:h="16838"/>
      <w:pgMar w:top="2098" w:right="1531" w:bottom="1984" w:left="1531" w:header="851" w:footer="1474" w:gutter="0"/>
      <w:paperSrc/>
      <w:pgNumType w:start="1"/>
      <w:cols w:space="0" w:num="1"/>
      <w:rtlGutter w:val="0"/>
      <w:docGrid w:type="linesAndChars" w:linePitch="472" w:charSpace="-7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4616450</wp:posOffset>
              </wp:positionH>
              <wp:positionV relativeFrom="paragraph">
                <wp:posOffset>-102870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80" w:leftChars="100" w:right="28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3.5pt;margin-top:-8.1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4uFWYNkAAAAMAQAADwAAAAAAAAABACAAAAA4AAAAZHJzL2Rvd25y&#10;ZXYueG1sUEsBAhQAFAAAAAgAh07iQGUktTAgAgAANw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80" w:leftChars="100" w:right="28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-10160</wp:posOffset>
              </wp:positionH>
              <wp:positionV relativeFrom="paragraph">
                <wp:posOffset>-97790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80" w:leftChars="100" w:right="28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8pt;margin-top:-7.7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s8BO51gAAAAoBAAAPAAAAAAAAAAEAIAAAADgAAABkcnMvZG93bnJl&#10;di54bWxQSwECFAAUAAAACACHTuJAk5EZdCICAAA5BAAADgAAAAAAAAABACAAAAA7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80" w:leftChars="100" w:right="28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38"/>
  <w:drawingGridVerticalSpacing w:val="23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40757"/>
    <w:rsid w:val="5F5A4BBF"/>
    <w:rsid w:val="BBF40757"/>
    <w:rsid w:val="F7B1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2020-11-20T15:41:00Z</dcterms:created>
  <dc:creator>kylin</dc:creator>
  <cp:lastModifiedBy>kylin</cp:lastModifiedBy>
  <dcterms:modified xsi:type="dcterms:W3CDTF">2020-11-20T15:47:03Z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